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  <w:rtl w:val="0"/>
        </w:rPr>
        <w:t xml:space="preserve">“All the sciences, indeed, are more necessary than this, but none is better”</w:t>
      </w:r>
    </w:p>
    <w:p w:rsidR="00000000" w:rsidDel="00000000" w:rsidP="00000000" w:rsidRDefault="00000000" w:rsidRPr="00000000" w14:paraId="00000002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“Metaphysics”  by Aristotle</w:t>
      </w:r>
    </w:p>
    <w:p w:rsidR="00000000" w:rsidDel="00000000" w:rsidP="00000000" w:rsidRDefault="00000000" w:rsidRPr="00000000" w14:paraId="00000003">
      <w:pPr>
        <w:rPr>
          <w:color w:val="202122"/>
          <w:sz w:val="15"/>
          <w:szCs w:val="15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Written 350 B.C.E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color w:val="2021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</w:rPr>
        <w:drawing>
          <wp:inline distB="114300" distT="114300" distL="114300" distR="114300">
            <wp:extent cx="5731200" cy="37465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27"/>
          <w:szCs w:val="27"/>
          <w:highlight w:val="white"/>
        </w:rPr>
      </w:pPr>
      <w:r w:rsidDel="00000000" w:rsidR="00000000" w:rsidRPr="00000000">
        <w:rPr>
          <w:b w:val="1"/>
          <w:i w:val="1"/>
          <w:color w:val="202122"/>
          <w:sz w:val="21"/>
          <w:szCs w:val="21"/>
          <w:highlight w:val="white"/>
          <w:rtl w:val="0"/>
        </w:rPr>
        <w:t xml:space="preserve">Raffaello Santi</w:t>
      </w:r>
      <w:r w:rsidDel="00000000" w:rsidR="00000000" w:rsidRPr="00000000">
        <w:rPr>
          <w:i w:val="1"/>
          <w:color w:val="202122"/>
          <w:sz w:val="21"/>
          <w:szCs w:val="21"/>
          <w:highlight w:val="white"/>
          <w:rtl w:val="0"/>
        </w:rPr>
        <w:t xml:space="preserve">  </w:t>
      </w:r>
      <w:hyperlink r:id="rId7">
        <w:r w:rsidDel="00000000" w:rsidR="00000000" w:rsidRPr="00000000">
          <w:rPr>
            <w:i w:val="1"/>
            <w:color w:val="0645ad"/>
            <w:sz w:val="21"/>
            <w:szCs w:val="21"/>
            <w:highlight w:val="white"/>
            <w:rtl w:val="0"/>
          </w:rPr>
          <w:t xml:space="preserve">1483</w:t>
        </w:r>
      </w:hyperlink>
      <w:r w:rsidDel="00000000" w:rsidR="00000000" w:rsidRPr="00000000">
        <w:rPr>
          <w:i w:val="1"/>
          <w:color w:val="202122"/>
          <w:sz w:val="21"/>
          <w:szCs w:val="21"/>
          <w:highlight w:val="white"/>
          <w:rtl w:val="0"/>
        </w:rPr>
        <w:t xml:space="preserve"> — </w:t>
      </w:r>
      <w:hyperlink r:id="rId8">
        <w:r w:rsidDel="00000000" w:rsidR="00000000" w:rsidRPr="00000000">
          <w:rPr>
            <w:i w:val="1"/>
            <w:color w:val="0645ad"/>
            <w:sz w:val="21"/>
            <w:szCs w:val="21"/>
            <w:highlight w:val="white"/>
            <w:rtl w:val="0"/>
          </w:rPr>
          <w:t xml:space="preserve">1520</w:t>
        </w:r>
      </w:hyperlink>
      <w:r w:rsidDel="00000000" w:rsidR="00000000" w:rsidRPr="00000000">
        <w:rPr>
          <w:sz w:val="27"/>
          <w:szCs w:val="27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07">
      <w:pPr>
        <w:rPr>
          <w:color w:val="202122"/>
          <w:sz w:val="21"/>
          <w:szCs w:val="21"/>
          <w:highlight w:val="white"/>
        </w:rPr>
      </w:pPr>
      <w:r w:rsidDel="00000000" w:rsidR="00000000" w:rsidRPr="00000000">
        <w:rPr>
          <w:b w:val="1"/>
          <w:color w:val="202122"/>
          <w:sz w:val="21"/>
          <w:szCs w:val="21"/>
          <w:highlight w:val="white"/>
          <w:rtl w:val="0"/>
        </w:rPr>
        <w:t xml:space="preserve">«</w:t>
      </w:r>
      <w:r w:rsidDel="00000000" w:rsidR="00000000" w:rsidRPr="00000000">
        <w:rPr>
          <w:color w:val="202122"/>
          <w:sz w:val="21"/>
          <w:szCs w:val="21"/>
          <w:highlight w:val="white"/>
          <w:rtl w:val="0"/>
        </w:rPr>
        <w:t xml:space="preserve">Афинская школа</w:t>
      </w:r>
      <w:r w:rsidDel="00000000" w:rsidR="00000000" w:rsidRPr="00000000">
        <w:rPr>
          <w:b w:val="1"/>
          <w:color w:val="202122"/>
          <w:sz w:val="21"/>
          <w:szCs w:val="21"/>
          <w:highlight w:val="white"/>
          <w:rtl w:val="0"/>
        </w:rPr>
        <w:t xml:space="preserve">»</w:t>
      </w:r>
      <w:r w:rsidDel="00000000" w:rsidR="00000000" w:rsidRPr="00000000">
        <w:rPr>
          <w:color w:val="202122"/>
          <w:sz w:val="21"/>
          <w:szCs w:val="21"/>
          <w:highlight w:val="white"/>
          <w:rtl w:val="0"/>
        </w:rPr>
        <w:t xml:space="preserve"> (</w:t>
      </w:r>
      <w:hyperlink r:id="rId9">
        <w:r w:rsidDel="00000000" w:rsidR="00000000" w:rsidRPr="00000000">
          <w:rPr>
            <w:color w:val="0645ad"/>
            <w:sz w:val="21"/>
            <w:szCs w:val="21"/>
            <w:highlight w:val="white"/>
            <w:rtl w:val="0"/>
          </w:rPr>
          <w:t xml:space="preserve">итал.</w:t>
        </w:r>
      </w:hyperlink>
      <w:r w:rsidDel="00000000" w:rsidR="00000000" w:rsidRPr="00000000">
        <w:rPr>
          <w:color w:val="202122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i w:val="1"/>
          <w:color w:val="202122"/>
          <w:sz w:val="21"/>
          <w:szCs w:val="21"/>
          <w:highlight w:val="white"/>
          <w:rtl w:val="0"/>
        </w:rPr>
        <w:t xml:space="preserve">La Scuola d’Atene</w:t>
      </w:r>
      <w:r w:rsidDel="00000000" w:rsidR="00000000" w:rsidRPr="00000000">
        <w:rPr>
          <w:color w:val="202122"/>
          <w:sz w:val="21"/>
          <w:szCs w:val="21"/>
          <w:highlight w:val="white"/>
          <w:rtl w:val="0"/>
        </w:rPr>
        <w:t xml:space="preserve">)  ~ 1509</w:t>
      </w:r>
    </w:p>
    <w:p w:rsidR="00000000" w:rsidDel="00000000" w:rsidP="00000000" w:rsidRDefault="00000000" w:rsidRPr="00000000" w14:paraId="00000008">
      <w:pPr>
        <w:rPr>
          <w:color w:val="2021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color w:val="333333"/>
          <w:sz w:val="20"/>
          <w:szCs w:val="20"/>
          <w:highlight w:val="white"/>
        </w:rPr>
      </w:pPr>
      <w:r w:rsidDel="00000000" w:rsidR="00000000" w:rsidRPr="00000000">
        <w:rPr>
          <w:color w:val="333333"/>
          <w:sz w:val="20"/>
          <w:szCs w:val="20"/>
          <w:highlight w:val="white"/>
          <w:rtl w:val="0"/>
        </w:rPr>
        <w:t xml:space="preserve">*Афинская школа ~1509, Фреска, ширина в основе 770cм,  Станц делла Сеньятура, Ватикан, Рим, Италия. Сюжет росписи всей комнаты — четыре сферы духовной деятельности человека: Теология, Философия, Юриспруденция и Поэзия. "Афинская школа" представляет одну из четырёх фресок — Философию.</w:t>
      </w:r>
    </w:p>
    <w:p w:rsidR="00000000" w:rsidDel="00000000" w:rsidP="00000000" w:rsidRDefault="00000000" w:rsidRPr="00000000" w14:paraId="0000000A">
      <w:pPr>
        <w:rPr>
          <w:color w:val="333333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φιλοσοφία</w:t>
      </w:r>
      <w:r w:rsidDel="00000000" w:rsidR="00000000" w:rsidRPr="00000000">
        <w:rPr>
          <w:sz w:val="24"/>
          <w:szCs w:val="24"/>
          <w:rtl w:val="0"/>
        </w:rPr>
        <w:t xml:space="preserve"> - любовь к мудрости </w:t>
      </w:r>
    </w:p>
    <w:p w:rsidR="00000000" w:rsidDel="00000000" w:rsidP="00000000" w:rsidRDefault="00000000" w:rsidRPr="00000000" w14:paraId="0000000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ΣΟΦΌΣ - софос - мудрец</w:t>
      </w:r>
    </w:p>
    <w:p w:rsidR="00000000" w:rsidDel="00000000" w:rsidP="00000000" w:rsidRDefault="00000000" w:rsidRPr="00000000" w14:paraId="0000000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Философия - учение об основных принципах познания, сущего, должного.</w:t>
      </w:r>
    </w:p>
    <w:p w:rsidR="00000000" w:rsidDel="00000000" w:rsidP="00000000" w:rsidRDefault="00000000" w:rsidRPr="00000000" w14:paraId="0000001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Познание - гносеология</w:t>
      </w:r>
    </w:p>
    <w:p w:rsidR="00000000" w:rsidDel="00000000" w:rsidP="00000000" w:rsidRDefault="00000000" w:rsidRPr="00000000" w14:paraId="00000012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Основание философии на котором строятся все остальные ответвления философии.</w:t>
      </w:r>
    </w:p>
    <w:p w:rsidR="00000000" w:rsidDel="00000000" w:rsidP="00000000" w:rsidRDefault="00000000" w:rsidRPr="00000000" w14:paraId="00000013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Гносеология отвечает на вопросы истинности определений (на вопрос как?) </w:t>
      </w:r>
    </w:p>
    <w:p w:rsidR="00000000" w:rsidDel="00000000" w:rsidP="00000000" w:rsidRDefault="00000000" w:rsidRPr="00000000" w14:paraId="00000014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Гносеология подразделяется на  логику (правильное построение понятий) - законы логики.</w:t>
      </w:r>
    </w:p>
    <w:p w:rsidR="00000000" w:rsidDel="00000000" w:rsidP="00000000" w:rsidRDefault="00000000" w:rsidRPr="00000000" w14:paraId="00000015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Логика выстраивает определение формально правильно, гносеология сопоставляет утверждения к истине.</w:t>
      </w:r>
    </w:p>
    <w:p w:rsidR="00000000" w:rsidDel="00000000" w:rsidP="00000000" w:rsidRDefault="00000000" w:rsidRPr="00000000" w14:paraId="00000016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Три уровня приближения к истине:</w:t>
      </w:r>
    </w:p>
    <w:p w:rsidR="00000000" w:rsidDel="00000000" w:rsidP="00000000" w:rsidRDefault="00000000" w:rsidRPr="00000000" w14:paraId="00000017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 Мир объективно существует независимо от нас</w:t>
      </w:r>
    </w:p>
    <w:p w:rsidR="00000000" w:rsidDel="00000000" w:rsidP="00000000" w:rsidRDefault="00000000" w:rsidRPr="00000000" w14:paraId="00000018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 Мир объективно существует, но как явление непознаваемой сущности</w:t>
      </w:r>
    </w:p>
    <w:p w:rsidR="00000000" w:rsidDel="00000000" w:rsidP="00000000" w:rsidRDefault="00000000" w:rsidRPr="00000000" w14:paraId="00000019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 Объекты лишь в уме познающего</w:t>
      </w:r>
    </w:p>
    <w:p w:rsidR="00000000" w:rsidDel="00000000" w:rsidP="00000000" w:rsidRDefault="00000000" w:rsidRPr="00000000" w14:paraId="0000001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ru.wikipedia.org/wiki/%D0%98%D1%82%D0%B0%D0%BB%D1%8C%D1%8F%D0%BD%D1%81%D0%BA%D0%B8%D0%B9_%D1%8F%D0%B7%D1%8B%D0%BA" TargetMode="Externa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hyperlink" Target="https://ru.wikipedia.org/wiki/1483" TargetMode="External"/><Relationship Id="rId8" Type="http://schemas.openxmlformats.org/officeDocument/2006/relationships/hyperlink" Target="https://ru.wikipedia.org/wiki/152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